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附件</w:t>
      </w:r>
      <w:r>
        <w:rPr>
          <w:rFonts w:ascii="仿宋" w:hAnsi="仿宋" w:eastAsia="仿宋"/>
          <w:b/>
          <w:color w:val="000000"/>
          <w:kern w:val="0"/>
          <w:sz w:val="24"/>
        </w:rPr>
        <w:t>2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color w:val="000000"/>
          <w:kern w:val="0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中国计算机学会</w:t>
      </w:r>
      <w:r>
        <w:rPr>
          <w:rFonts w:hint="eastAsia" w:ascii="仿宋" w:hAnsi="仿宋" w:eastAsia="仿宋"/>
          <w:b/>
          <w:bCs/>
          <w:sz w:val="28"/>
          <w:lang w:val="en-US" w:eastAsia="zh-CN"/>
        </w:rPr>
        <w:t>职业教育发展委员会</w:t>
      </w:r>
      <w:r>
        <w:rPr>
          <w:rFonts w:ascii="仿宋" w:hAnsi="仿宋" w:eastAsia="仿宋"/>
          <w:b/>
          <w:bCs/>
          <w:sz w:val="28"/>
        </w:rPr>
        <w:t>2018</w:t>
      </w:r>
      <w:r>
        <w:rPr>
          <w:rFonts w:hint="eastAsia" w:ascii="仿宋" w:hAnsi="仿宋" w:eastAsia="仿宋"/>
          <w:b/>
          <w:bCs/>
          <w:sz w:val="28"/>
        </w:rPr>
        <w:t>年度职业教育科研课题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申报指南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本年度科研课题和教改课题申报工作的目的是以</w:t>
      </w:r>
      <w:r>
        <w:rPr>
          <w:rFonts w:hint="default" w:ascii="Times New Roman" w:hAnsi="Times New Roman" w:eastAsia="仿宋" w:cs="Times New Roman"/>
          <w:kern w:val="0"/>
          <w:sz w:val="24"/>
          <w:lang w:val="en-US" w:eastAsia="zh-CN"/>
        </w:rPr>
        <w:t>CCF</w:t>
      </w:r>
      <w:r>
        <w:rPr>
          <w:rFonts w:hint="eastAsia" w:ascii="仿宋" w:hAnsi="仿宋" w:eastAsia="仿宋"/>
          <w:sz w:val="24"/>
          <w:lang w:val="en-US" w:eastAsia="zh-CN"/>
        </w:rPr>
        <w:t>职业教育发展委员会</w:t>
      </w:r>
      <w:r>
        <w:rPr>
          <w:rFonts w:hint="eastAsia" w:ascii="仿宋" w:hAnsi="仿宋" w:eastAsia="仿宋"/>
          <w:sz w:val="24"/>
        </w:rPr>
        <w:t>的角度，搭建计算机专业职业教育科研交流与成果共享的平台，聚焦职业教育计算机专业中的人才培养、专业建设、课程体系构建、师资能力提升、实践教学及校企合作等热点、重点与难点问题，促进研究成果的复制推广，更好地为我国计算机职业教育的发展贡献力量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重点课题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高职计算机专业人才培养模式创新研究；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ascii="仿宋" w:hAnsi="仿宋" w:eastAsia="仿宋"/>
        </w:rPr>
        <w:t>高职院校</w:t>
      </w:r>
      <w:r>
        <w:rPr>
          <w:rFonts w:hint="eastAsia" w:ascii="仿宋" w:hAnsi="仿宋" w:eastAsia="仿宋"/>
        </w:rPr>
        <w:t>职业素养与职业技能相融合的人才培养模式研究；</w:t>
      </w:r>
      <w:r>
        <w:rPr>
          <w:rFonts w:ascii="仿宋" w:hAnsi="仿宋" w:eastAsia="仿宋"/>
        </w:rPr>
        <w:t xml:space="preserve"> 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“中国制造</w:t>
      </w:r>
      <w:r>
        <w:rPr>
          <w:rFonts w:ascii="仿宋" w:hAnsi="仿宋" w:eastAsia="仿宋"/>
        </w:rPr>
        <w:t>2025”背景下开展现代学徒制教育的研究；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计算机类课程精准教学关键技术研究；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ascii="仿宋" w:hAnsi="仿宋" w:eastAsia="仿宋"/>
        </w:rPr>
        <w:t>高职院校</w:t>
      </w:r>
      <w:r>
        <w:rPr>
          <w:rFonts w:hint="eastAsia" w:ascii="仿宋" w:hAnsi="仿宋" w:eastAsia="仿宋"/>
        </w:rPr>
        <w:t>计算机</w:t>
      </w:r>
      <w:r>
        <w:rPr>
          <w:rFonts w:ascii="仿宋" w:hAnsi="仿宋" w:eastAsia="仿宋"/>
        </w:rPr>
        <w:t>专业教育与创新创业教育有机融合的研究；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高职计算机专业课程改革与课程标准的实践研究；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基于质量提升的计算机专业项目化课程改革实践研究；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计算机专业高职教师企业实践的管理制度及实践研究；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面向数字化学习方式的教学资源设计；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数字时代下创新创业教育模式研究。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一般课题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ascii="仿宋" w:hAnsi="仿宋" w:eastAsia="仿宋"/>
        </w:rPr>
        <w:t>高职院校开展以市场为导向多方共建应用技术协同创新</w:t>
      </w:r>
      <w:r>
        <w:rPr>
          <w:rFonts w:hint="eastAsia" w:ascii="仿宋" w:hAnsi="仿宋" w:eastAsia="仿宋"/>
        </w:rPr>
        <w:t>人才培养</w:t>
      </w:r>
      <w:r>
        <w:rPr>
          <w:rFonts w:ascii="仿宋" w:hAnsi="仿宋" w:eastAsia="仿宋"/>
        </w:rPr>
        <w:t>研究；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区域</w:t>
      </w:r>
      <w:r>
        <w:rPr>
          <w:rFonts w:ascii="仿宋" w:hAnsi="仿宋" w:eastAsia="仿宋"/>
        </w:rPr>
        <w:t>现代</w:t>
      </w:r>
      <w:r>
        <w:rPr>
          <w:rFonts w:hint="eastAsia" w:ascii="仿宋" w:hAnsi="仿宋" w:eastAsia="仿宋"/>
        </w:rPr>
        <w:t>化计算机</w:t>
      </w:r>
      <w:r>
        <w:rPr>
          <w:rFonts w:ascii="仿宋" w:hAnsi="仿宋" w:eastAsia="仿宋"/>
        </w:rPr>
        <w:t>职业教育体系构建研究</w:t>
      </w:r>
      <w:r>
        <w:rPr>
          <w:rFonts w:hint="eastAsia" w:ascii="仿宋" w:hAnsi="仿宋" w:eastAsia="仿宋"/>
        </w:rPr>
        <w:t>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“互联网</w:t>
      </w:r>
      <w:r>
        <w:rPr>
          <w:rFonts w:ascii="仿宋" w:hAnsi="仿宋" w:eastAsia="仿宋"/>
        </w:rPr>
        <w:t>+”背景下高职学生文化自信培养研究；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以计算机行业岗位需求为主导的高职教育评估指标体系的构建研究；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基于大数据的精准化职业教育评价技术研究；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高职计算机专业教育资源配置与效益研究；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ascii="仿宋" w:hAnsi="仿宋" w:eastAsia="仿宋"/>
        </w:rPr>
        <w:t>产业结构调整与</w:t>
      </w:r>
      <w:r>
        <w:rPr>
          <w:rFonts w:hint="eastAsia" w:ascii="仿宋" w:hAnsi="仿宋" w:eastAsia="仿宋"/>
        </w:rPr>
        <w:t>高职教育计算机</w:t>
      </w:r>
      <w:r>
        <w:rPr>
          <w:rFonts w:ascii="仿宋" w:hAnsi="仿宋" w:eastAsia="仿宋"/>
        </w:rPr>
        <w:t>专业建设发展研究</w:t>
      </w:r>
      <w:r>
        <w:rPr>
          <w:rFonts w:hint="eastAsia" w:ascii="仿宋" w:hAnsi="仿宋" w:eastAsia="仿宋"/>
        </w:rPr>
        <w:t>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基于移动互联等计算机专业的教育教学创新应用研究；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ascii="仿宋" w:hAnsi="仿宋" w:eastAsia="仿宋"/>
        </w:rPr>
        <w:t>提升职业教育</w:t>
      </w:r>
      <w:r>
        <w:rPr>
          <w:rFonts w:hint="eastAsia" w:ascii="仿宋" w:hAnsi="仿宋" w:eastAsia="仿宋"/>
        </w:rPr>
        <w:t>的计算机专业</w:t>
      </w:r>
      <w:r>
        <w:rPr>
          <w:rFonts w:ascii="仿宋" w:hAnsi="仿宋" w:eastAsia="仿宋"/>
        </w:rPr>
        <w:t>社会培训功能研究</w:t>
      </w:r>
      <w:r>
        <w:rPr>
          <w:rFonts w:hint="eastAsia" w:ascii="仿宋" w:hAnsi="仿宋" w:eastAsia="仿宋"/>
        </w:rPr>
        <w:t>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基于质量提升的计算机专业项目化课程改革实践研究；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职业教育计算机专业技能大赛与教学改革研究；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成果导向理念在职业教育计算机专业教学中的有效应用；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高职院校数字化教学资源的开发与“翻转课堂”的应用研究；</w:t>
      </w:r>
    </w:p>
    <w:p>
      <w:pPr>
        <w:pStyle w:val="4"/>
        <w:numPr>
          <w:ilvl w:val="0"/>
          <w:numId w:val="3"/>
        </w:numPr>
        <w:adjustRightInd w:val="0"/>
        <w:snapToGrid w:val="0"/>
        <w:spacing w:line="360" w:lineRule="auto"/>
        <w:ind w:left="0"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高职通识课资源共享网络平台的开发与应用。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自筹经费课题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年度规划课题指南只列出重点课题和一般课题题目，重点课题和一般课题指南仅作为申报课题的参考，自筹经费课题不设具体指南，研究者可自主确定研究方向并自拟题目，鼓励开展教育教学热点、难点问题的研究，鼓励开展教育实证研究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仿宋" w:hAnsi="仿宋" w:eastAsia="仿宋" w:cs="宋体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仿宋" w:hAnsi="仿宋" w:eastAsia="仿宋" w:cs="宋体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仿宋" w:hAnsi="仿宋" w:eastAsia="仿宋"/>
          <w:sz w:val="24"/>
        </w:rPr>
      </w:pPr>
      <w:r>
        <w:rPr>
          <w:rFonts w:hint="default" w:ascii="Times New Roman" w:hAnsi="Times New Roman" w:eastAsia="仿宋" w:cs="Times New Roman"/>
          <w:kern w:val="0"/>
          <w:sz w:val="24"/>
          <w:lang w:val="en-US" w:eastAsia="zh-CN"/>
        </w:rPr>
        <w:t>CCF</w:t>
      </w:r>
      <w:r>
        <w:rPr>
          <w:rFonts w:hint="eastAsia" w:ascii="仿宋" w:hAnsi="仿宋" w:eastAsia="仿宋" w:cs="宋体"/>
          <w:kern w:val="0"/>
          <w:sz w:val="24"/>
        </w:rPr>
        <w:t>职业教育发展委员会</w:t>
      </w:r>
    </w:p>
    <w:p>
      <w:pPr>
        <w:widowControl/>
        <w:adjustRightInd w:val="0"/>
        <w:snapToGrid w:val="0"/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EC1B"/>
    <w:multiLevelType w:val="singleLevel"/>
    <w:tmpl w:val="59D8EC1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417E19"/>
    <w:multiLevelType w:val="multilevel"/>
    <w:tmpl w:val="5F417E19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378" w:hanging="420"/>
      </w:pPr>
    </w:lvl>
    <w:lvl w:ilvl="2" w:tentative="0">
      <w:start w:val="1"/>
      <w:numFmt w:val="lowerRoman"/>
      <w:lvlText w:val="%3."/>
      <w:lvlJc w:val="right"/>
      <w:pPr>
        <w:ind w:left="1798" w:hanging="420"/>
      </w:pPr>
    </w:lvl>
    <w:lvl w:ilvl="3" w:tentative="0">
      <w:start w:val="1"/>
      <w:numFmt w:val="decimal"/>
      <w:lvlText w:val="%4."/>
      <w:lvlJc w:val="left"/>
      <w:pPr>
        <w:ind w:left="2218" w:hanging="420"/>
      </w:pPr>
    </w:lvl>
    <w:lvl w:ilvl="4" w:tentative="0">
      <w:start w:val="1"/>
      <w:numFmt w:val="lowerLetter"/>
      <w:lvlText w:val="%5)"/>
      <w:lvlJc w:val="left"/>
      <w:pPr>
        <w:ind w:left="2638" w:hanging="420"/>
      </w:pPr>
    </w:lvl>
    <w:lvl w:ilvl="5" w:tentative="0">
      <w:start w:val="1"/>
      <w:numFmt w:val="lowerRoman"/>
      <w:lvlText w:val="%6."/>
      <w:lvlJc w:val="right"/>
      <w:pPr>
        <w:ind w:left="3058" w:hanging="420"/>
      </w:pPr>
    </w:lvl>
    <w:lvl w:ilvl="6" w:tentative="0">
      <w:start w:val="1"/>
      <w:numFmt w:val="decimal"/>
      <w:lvlText w:val="%7."/>
      <w:lvlJc w:val="left"/>
      <w:pPr>
        <w:ind w:left="3478" w:hanging="420"/>
      </w:pPr>
    </w:lvl>
    <w:lvl w:ilvl="7" w:tentative="0">
      <w:start w:val="1"/>
      <w:numFmt w:val="lowerLetter"/>
      <w:lvlText w:val="%8)"/>
      <w:lvlJc w:val="left"/>
      <w:pPr>
        <w:ind w:left="3898" w:hanging="420"/>
      </w:pPr>
    </w:lvl>
    <w:lvl w:ilvl="8" w:tentative="0">
      <w:start w:val="1"/>
      <w:numFmt w:val="lowerRoman"/>
      <w:lvlText w:val="%9."/>
      <w:lvlJc w:val="right"/>
      <w:pPr>
        <w:ind w:left="4318" w:hanging="420"/>
      </w:pPr>
    </w:lvl>
  </w:abstractNum>
  <w:abstractNum w:abstractNumId="2">
    <w:nsid w:val="631B53D7"/>
    <w:multiLevelType w:val="multilevel"/>
    <w:tmpl w:val="631B53D7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378" w:hanging="420"/>
      </w:pPr>
    </w:lvl>
    <w:lvl w:ilvl="2" w:tentative="0">
      <w:start w:val="1"/>
      <w:numFmt w:val="lowerRoman"/>
      <w:lvlText w:val="%3."/>
      <w:lvlJc w:val="right"/>
      <w:pPr>
        <w:ind w:left="1798" w:hanging="420"/>
      </w:pPr>
    </w:lvl>
    <w:lvl w:ilvl="3" w:tentative="0">
      <w:start w:val="1"/>
      <w:numFmt w:val="decimal"/>
      <w:lvlText w:val="%4."/>
      <w:lvlJc w:val="left"/>
      <w:pPr>
        <w:ind w:left="2218" w:hanging="420"/>
      </w:pPr>
    </w:lvl>
    <w:lvl w:ilvl="4" w:tentative="0">
      <w:start w:val="1"/>
      <w:numFmt w:val="lowerLetter"/>
      <w:lvlText w:val="%5)"/>
      <w:lvlJc w:val="left"/>
      <w:pPr>
        <w:ind w:left="2638" w:hanging="420"/>
      </w:pPr>
    </w:lvl>
    <w:lvl w:ilvl="5" w:tentative="0">
      <w:start w:val="1"/>
      <w:numFmt w:val="lowerRoman"/>
      <w:lvlText w:val="%6."/>
      <w:lvlJc w:val="right"/>
      <w:pPr>
        <w:ind w:left="3058" w:hanging="420"/>
      </w:pPr>
    </w:lvl>
    <w:lvl w:ilvl="6" w:tentative="0">
      <w:start w:val="1"/>
      <w:numFmt w:val="decimal"/>
      <w:lvlText w:val="%7."/>
      <w:lvlJc w:val="left"/>
      <w:pPr>
        <w:ind w:left="3478" w:hanging="420"/>
      </w:pPr>
    </w:lvl>
    <w:lvl w:ilvl="7" w:tentative="0">
      <w:start w:val="1"/>
      <w:numFmt w:val="lowerLetter"/>
      <w:lvlText w:val="%8)"/>
      <w:lvlJc w:val="left"/>
      <w:pPr>
        <w:ind w:left="3898" w:hanging="420"/>
      </w:pPr>
    </w:lvl>
    <w:lvl w:ilvl="8" w:tentative="0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happy</dc:creator>
  <cp:lastModifiedBy>happy</cp:lastModifiedBy>
  <dcterms:modified xsi:type="dcterms:W3CDTF">2018-05-17T06:47:41Z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